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小标宋_GBK" w:hAnsi="方正小标宋_GBK" w:eastAsia="方正小标宋_GBK" w:cs="方正小标宋_GBK"/>
          <w:color w:val="000000"/>
          <w:sz w:val="32"/>
          <w:szCs w:val="32"/>
        </w:rPr>
      </w:pPr>
      <w:bookmarkStart w:id="0" w:name="_Toc55456715"/>
      <w:r>
        <w:rPr>
          <w:rFonts w:hint="eastAsia" w:ascii="方正仿宋_GBK" w:hAnsi="方正仿宋_GBK" w:eastAsia="方正仿宋_GBK" w:cs="方正仿宋_GBK"/>
          <w:color w:val="000000"/>
          <w:sz w:val="28"/>
          <w:szCs w:val="28"/>
        </w:rPr>
        <w:t>附件2</w:t>
      </w:r>
    </w:p>
    <w:p>
      <w:pPr>
        <w:spacing w:line="360" w:lineRule="auto"/>
        <w:jc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w:t>
      </w:r>
      <w:r>
        <w:rPr>
          <w:rFonts w:hint="eastAsia" w:ascii="Times New Roman" w:hAnsi="Times New Roman" w:eastAsia="黑体" w:cs="Times New Roman"/>
          <w:color w:val="000000"/>
          <w:sz w:val="32"/>
          <w:szCs w:val="32"/>
        </w:rPr>
        <w:t>在用电子式交流电能表状态评价与更换实施规范</w:t>
      </w:r>
      <w:r>
        <w:rPr>
          <w:rFonts w:hint="eastAsia" w:ascii="方正小标宋_GBK" w:hAnsi="方正小标宋_GBK" w:eastAsia="方正小标宋_GBK" w:cs="方正小标宋_GBK"/>
          <w:color w:val="000000"/>
          <w:sz w:val="32"/>
          <w:szCs w:val="32"/>
        </w:rPr>
        <w:t>》（征求意见稿）编制说明</w:t>
      </w:r>
    </w:p>
    <w:p>
      <w:pPr>
        <w:spacing w:line="360" w:lineRule="auto"/>
        <w:jc w:val="center"/>
        <w:rPr>
          <w:rFonts w:ascii="方正小标宋_GBK" w:hAnsi="方正小标宋_GBK" w:eastAsia="方正小标宋_GBK" w:cs="方正小标宋_GBK"/>
          <w:color w:val="000000"/>
          <w:sz w:val="32"/>
          <w:szCs w:val="32"/>
        </w:rPr>
      </w:pPr>
    </w:p>
    <w:bookmarkEnd w:id="0"/>
    <w:p>
      <w:pPr>
        <w:pStyle w:val="11"/>
        <w:numPr>
          <w:ilvl w:val="0"/>
          <w:numId w:val="1"/>
        </w:numPr>
        <w:spacing w:line="360" w:lineRule="auto"/>
        <w:ind w:firstLineChars="0"/>
        <w:rPr>
          <w:rFonts w:ascii="Times New Roman" w:hAnsi="Times New Roman" w:eastAsia="黑体" w:cs="Times New Roman"/>
          <w:sz w:val="28"/>
          <w:szCs w:val="28"/>
        </w:rPr>
      </w:pPr>
      <w:r>
        <w:rPr>
          <w:rFonts w:hint="eastAsia" w:ascii="Times New Roman" w:hAnsi="Times New Roman" w:eastAsia="黑体" w:cs="Times New Roman"/>
          <w:sz w:val="28"/>
          <w:szCs w:val="28"/>
        </w:rPr>
        <w:t>任务来源</w:t>
      </w:r>
    </w:p>
    <w:p>
      <w:pPr>
        <w:spacing w:line="360" w:lineRule="auto"/>
        <w:ind w:firstLine="540"/>
        <w:rPr>
          <w:rFonts w:ascii="Times New Roman" w:hAnsi="Times New Roman" w:cs="Times New Roman"/>
          <w:sz w:val="24"/>
          <w:szCs w:val="24"/>
        </w:rPr>
      </w:pPr>
      <w:r>
        <w:rPr>
          <w:rFonts w:hint="eastAsia" w:ascii="Times New Roman" w:hAnsi="Times New Roman" w:cs="Times New Roman"/>
          <w:sz w:val="24"/>
          <w:szCs w:val="24"/>
        </w:rPr>
        <w:t>经湖南省市场监督管理局同意，根据2023年1月下达的《关于申报 2023 年度湖南省地方计量技术规范项目的通知》（湘市监计量函〔2022〕244 号）要求，计划中包含任务</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在用电子式交流电能表状态评价与更换实施规范</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，由湖南省计量检测研究院负责制定。</w:t>
      </w:r>
    </w:p>
    <w:p>
      <w:pPr>
        <w:spacing w:line="360" w:lineRule="auto"/>
        <w:ind w:firstLine="540"/>
        <w:rPr>
          <w:rFonts w:ascii="Times New Roman" w:hAnsi="Times New Roman" w:cs="Times New Roman"/>
          <w:sz w:val="24"/>
          <w:szCs w:val="24"/>
        </w:rPr>
      </w:pPr>
      <w:r>
        <w:rPr>
          <w:rFonts w:hint="eastAsia" w:ascii="Times New Roman" w:hAnsi="Times New Roman" w:cs="Times New Roman"/>
          <w:sz w:val="24"/>
          <w:szCs w:val="24"/>
        </w:rPr>
        <w:t>归口单位：湖南省市场监督管理局。</w:t>
      </w:r>
    </w:p>
    <w:p>
      <w:pPr>
        <w:spacing w:line="360" w:lineRule="auto"/>
        <w:ind w:firstLine="540"/>
        <w:rPr>
          <w:rFonts w:ascii="Times New Roman" w:hAnsi="Times New Roman" w:cs="Times New Roman"/>
          <w:sz w:val="24"/>
          <w:szCs w:val="24"/>
        </w:rPr>
      </w:pPr>
      <w:r>
        <w:rPr>
          <w:rFonts w:hint="eastAsia" w:ascii="Times New Roman" w:hAnsi="Times New Roman" w:cs="Times New Roman"/>
          <w:sz w:val="24"/>
          <w:szCs w:val="24"/>
        </w:rPr>
        <w:t>起草单位：湖南省计量检测研究院、国网湖南省电力有限公司。</w:t>
      </w:r>
    </w:p>
    <w:p>
      <w:pPr>
        <w:pStyle w:val="11"/>
        <w:numPr>
          <w:ilvl w:val="0"/>
          <w:numId w:val="1"/>
        </w:numPr>
        <w:spacing w:line="360" w:lineRule="auto"/>
        <w:ind w:firstLineChars="0"/>
        <w:rPr>
          <w:rFonts w:ascii="Times New Roman" w:hAnsi="Times New Roman" w:eastAsia="黑体" w:cs="Times New Roman"/>
          <w:sz w:val="28"/>
          <w:szCs w:val="28"/>
        </w:rPr>
      </w:pPr>
      <w:r>
        <w:rPr>
          <w:rFonts w:ascii="Times New Roman" w:hAnsi="Times New Roman" w:eastAsia="黑体" w:cs="Times New Roman"/>
          <w:sz w:val="28"/>
          <w:szCs w:val="28"/>
        </w:rPr>
        <w:t>必要性分析</w:t>
      </w:r>
    </w:p>
    <w:p>
      <w:pPr>
        <w:spacing w:line="360" w:lineRule="auto"/>
        <w:ind w:firstLine="540"/>
        <w:rPr>
          <w:rFonts w:ascii="Times New Roman" w:hAnsi="Times New Roman" w:cs="Times New Roman"/>
          <w:sz w:val="24"/>
          <w:szCs w:val="24"/>
        </w:rPr>
      </w:pPr>
      <w:r>
        <w:rPr>
          <w:rFonts w:hint="eastAsia" w:ascii="Times New Roman" w:hAnsi="Times New Roman" w:cs="Times New Roman"/>
          <w:sz w:val="24"/>
          <w:szCs w:val="24"/>
        </w:rPr>
        <w:t>2018年湖南省质量技术监督局发布JJG（湘）32-2018《在用电子式交流电能表检定规程》，对运行年限大于等于8年的在用电子式交流电能表（以下简称“在用电能表”）开展批次抽检，根据抽检结果，确定可延长使用4年的在用电能表，对不合格的批次在用电能表进行全量更换。2020年11月16日湖南省市场监督管理局发布《JJF（湘）33-2020智能电能表运行校准规范》，采用信息化和大数据分析技术，利用电能表运行校准平台对电能表的计量功能和运行误差实现实时监控和在线校准实时监控和在线校准，结果可作为电能表更换的依据。国网湖南省电力有限公司经过大量的实践探索工作，发现以在线校准状态评价方式为主，抽样检定状态评价方式为辅的技术路线开展在用电能表周期延长工作，既可以通过大数据的方式减小抽样检定的工作量，又可以通过抽样检定的方式监管大数据无法准确监测的范围，高效、科学的保障在用电能表延期使用。</w:t>
      </w:r>
    </w:p>
    <w:p>
      <w:pPr>
        <w:pStyle w:val="11"/>
        <w:numPr>
          <w:ilvl w:val="0"/>
          <w:numId w:val="1"/>
        </w:numPr>
        <w:spacing w:line="360" w:lineRule="auto"/>
        <w:ind w:firstLineChars="0"/>
        <w:rPr>
          <w:rFonts w:ascii="Times New Roman" w:hAnsi="Times New Roman" w:eastAsia="黑体" w:cs="Times New Roman"/>
          <w:sz w:val="28"/>
          <w:szCs w:val="28"/>
        </w:rPr>
      </w:pPr>
      <w:r>
        <w:rPr>
          <w:rFonts w:ascii="Times New Roman" w:hAnsi="Times New Roman" w:eastAsia="黑体" w:cs="Times New Roman"/>
          <w:sz w:val="28"/>
          <w:szCs w:val="28"/>
        </w:rPr>
        <w:t>现状分析</w:t>
      </w:r>
    </w:p>
    <w:p>
      <w:pPr>
        <w:spacing w:line="360" w:lineRule="auto"/>
        <w:ind w:firstLine="472" w:firstLineChars="197"/>
        <w:rPr>
          <w:rFonts w:hint="eastAsia" w:eastAsiaTheme="minorEastAsia"/>
          <w:sz w:val="24"/>
          <w:lang w:eastAsia="zh-CN"/>
        </w:rPr>
      </w:pPr>
      <w:r>
        <w:rPr>
          <w:rFonts w:hint="eastAsia"/>
          <w:sz w:val="24"/>
        </w:rPr>
        <w:t>湖南2018年湖南省质量技术监督局发布JJG（湘）32-2018《在用电子式交流电能表检定规程》规定可以通过抽检开展电能表检定周期延长工作，2020年11月16日湖南省市场监督管理局发布《JJF（湘）33-2020智能电能表运行校准规范》提供了在线校准的新手段开展运行中电能表质量监控工作，目前没有形成配套制度体系，没有切合实际的实施规范。湖南省制定本实施规范可以提升我省电能表的管理，规范电能表延期使用，为在用电能表延期使用提供行动指南，实现挖潜增效、降本节支，承担</w:t>
      </w:r>
      <w:r>
        <w:rPr>
          <w:rFonts w:hint="eastAsia"/>
          <w:sz w:val="24"/>
          <w:lang w:eastAsia="zh-CN"/>
        </w:rPr>
        <w:t>起</w:t>
      </w:r>
      <w:r>
        <w:rPr>
          <w:rFonts w:hint="eastAsia"/>
          <w:sz w:val="24"/>
        </w:rPr>
        <w:t>资源节约、绿色发展的社会责任</w:t>
      </w:r>
      <w:r>
        <w:rPr>
          <w:rFonts w:hint="eastAsia"/>
          <w:sz w:val="24"/>
          <w:lang w:eastAsia="zh-CN"/>
        </w:rPr>
        <w:t>，不断</w:t>
      </w:r>
      <w:r>
        <w:rPr>
          <w:rFonts w:hint="eastAsia"/>
          <w:sz w:val="24"/>
        </w:rPr>
        <w:t>推动</w:t>
      </w:r>
      <w:r>
        <w:rPr>
          <w:rFonts w:hint="eastAsia"/>
          <w:sz w:val="24"/>
          <w:lang w:eastAsia="zh-CN"/>
        </w:rPr>
        <w:t>电力</w:t>
      </w:r>
      <w:r>
        <w:rPr>
          <w:rFonts w:hint="eastAsia"/>
          <w:sz w:val="24"/>
        </w:rPr>
        <w:t>计量高质量发展</w:t>
      </w:r>
      <w:r>
        <w:rPr>
          <w:rFonts w:hint="eastAsia"/>
          <w:sz w:val="24"/>
          <w:lang w:eastAsia="zh-CN"/>
        </w:rPr>
        <w:t>。</w:t>
      </w:r>
      <w:bookmarkStart w:id="10" w:name="_GoBack"/>
      <w:bookmarkEnd w:id="10"/>
    </w:p>
    <w:p>
      <w:pPr>
        <w:pStyle w:val="11"/>
        <w:numPr>
          <w:ilvl w:val="0"/>
          <w:numId w:val="1"/>
        </w:numPr>
        <w:spacing w:line="360" w:lineRule="auto"/>
        <w:ind w:firstLineChars="0"/>
        <w:rPr>
          <w:rFonts w:ascii="Times New Roman" w:hAnsi="Times New Roman" w:eastAsia="黑体" w:cs="Times New Roman"/>
          <w:sz w:val="28"/>
          <w:szCs w:val="28"/>
        </w:rPr>
      </w:pPr>
      <w:r>
        <w:rPr>
          <w:rFonts w:hint="eastAsia" w:ascii="Times New Roman" w:hAnsi="Times New Roman" w:eastAsia="黑体" w:cs="Times New Roman"/>
          <w:sz w:val="28"/>
          <w:szCs w:val="28"/>
        </w:rPr>
        <w:t>参考标准/规范</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JJG 596　电子式交流电能表</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JJF（湘）33—2020　智能电能表运行校准规范</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JJG（湘）32—2018　在用电子式交流电能表</w:t>
      </w:r>
    </w:p>
    <w:p>
      <w:pPr>
        <w:pStyle w:val="11"/>
        <w:numPr>
          <w:ilvl w:val="0"/>
          <w:numId w:val="1"/>
        </w:numPr>
        <w:spacing w:line="360" w:lineRule="auto"/>
        <w:ind w:firstLineChars="0"/>
        <w:rPr>
          <w:rFonts w:ascii="Times New Roman" w:hAnsi="Times New Roman" w:eastAsia="黑体" w:cs="Times New Roman"/>
          <w:sz w:val="28"/>
          <w:szCs w:val="28"/>
        </w:rPr>
      </w:pPr>
      <w:r>
        <w:rPr>
          <w:rFonts w:ascii="Times New Roman" w:hAnsi="Times New Roman" w:eastAsia="黑体" w:cs="Times New Roman"/>
          <w:sz w:val="28"/>
          <w:szCs w:val="28"/>
        </w:rPr>
        <w:t>编制内容</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在用电子式交流电能表状态评价与更换实施规范适用于低压台区在用电子式交流电能表（以下简称电能表）的状态评价与更换，状态评价结果可作为延长检定周期的依据。编制实施规范主要内容如下：</w:t>
      </w:r>
    </w:p>
    <w:p>
      <w:pPr>
        <w:spacing w:line="360" w:lineRule="auto"/>
        <w:ind w:firstLine="481" w:firstLineChars="200"/>
        <w:rPr>
          <w:b/>
          <w:bCs/>
          <w:color w:val="000000"/>
          <w:sz w:val="24"/>
        </w:rPr>
      </w:pPr>
      <w:r>
        <w:rPr>
          <w:rFonts w:hint="eastAsia"/>
          <w:b/>
          <w:bCs/>
          <w:color w:val="000000"/>
          <w:sz w:val="24"/>
        </w:rPr>
        <w:t>1.技术规范名称</w:t>
      </w:r>
    </w:p>
    <w:p>
      <w:pPr>
        <w:spacing w:line="360" w:lineRule="auto"/>
        <w:rPr>
          <w:rFonts w:ascii="宋体" w:hAnsi="宋体"/>
          <w:sz w:val="24"/>
          <w:szCs w:val="24"/>
        </w:rPr>
      </w:pPr>
      <w:r>
        <w:rPr>
          <w:rFonts w:hint="eastAsia" w:ascii="宋体" w:hAnsi="宋体"/>
          <w:sz w:val="24"/>
          <w:szCs w:val="24"/>
        </w:rPr>
        <w:t xml:space="preserve">    确定技术规范为“在用电子式交流电能表状态评价与更换实施规范”。</w:t>
      </w:r>
    </w:p>
    <w:p>
      <w:pPr>
        <w:spacing w:line="360" w:lineRule="auto"/>
        <w:ind w:firstLine="481" w:firstLineChars="200"/>
        <w:rPr>
          <w:b/>
          <w:bCs/>
          <w:color w:val="000000"/>
          <w:sz w:val="24"/>
        </w:rPr>
      </w:pPr>
      <w:r>
        <w:rPr>
          <w:rFonts w:hint="eastAsia"/>
          <w:b/>
          <w:bCs/>
          <w:color w:val="000000"/>
          <w:sz w:val="24"/>
        </w:rPr>
        <w:t>2.</w:t>
      </w:r>
      <w:r>
        <w:rPr>
          <w:b/>
          <w:bCs/>
          <w:color w:val="000000"/>
          <w:sz w:val="24"/>
        </w:rPr>
        <w:t>范围</w:t>
      </w:r>
    </w:p>
    <w:p>
      <w:pPr>
        <w:spacing w:line="360" w:lineRule="auto"/>
        <w:ind w:firstLine="570"/>
        <w:rPr>
          <w:rFonts w:ascii="宋体" w:hAnsi="宋体"/>
          <w:sz w:val="24"/>
          <w:szCs w:val="24"/>
        </w:rPr>
      </w:pPr>
      <w:r>
        <w:rPr>
          <w:rFonts w:hint="eastAsia" w:ascii="宋体" w:hAnsi="宋体"/>
          <w:sz w:val="24"/>
          <w:szCs w:val="24"/>
        </w:rPr>
        <w:t>本规范适用于低压台区在用电子式交流电能表（以下简称电能表）的状态评价与更换，状态评价结果可作为延长检定周期的依据</w:t>
      </w:r>
      <w:r>
        <w:rPr>
          <w:rFonts w:ascii="宋体" w:hAnsi="宋体"/>
          <w:sz w:val="24"/>
          <w:szCs w:val="24"/>
        </w:rPr>
        <w:t>。</w:t>
      </w:r>
    </w:p>
    <w:p>
      <w:pPr>
        <w:spacing w:line="360" w:lineRule="auto"/>
        <w:ind w:firstLine="481" w:firstLineChars="200"/>
        <w:rPr>
          <w:b/>
          <w:bCs/>
          <w:color w:val="000000"/>
          <w:sz w:val="24"/>
        </w:rPr>
      </w:pPr>
      <w:r>
        <w:rPr>
          <w:b/>
          <w:bCs/>
          <w:color w:val="000000"/>
          <w:sz w:val="24"/>
        </w:rPr>
        <w:t>3</w:t>
      </w:r>
      <w:r>
        <w:rPr>
          <w:rFonts w:hint="eastAsia"/>
          <w:b/>
          <w:bCs/>
          <w:color w:val="000000"/>
          <w:sz w:val="24"/>
        </w:rPr>
        <w:t>.术语</w:t>
      </w:r>
    </w:p>
    <w:p>
      <w:pPr>
        <w:spacing w:line="360" w:lineRule="auto"/>
        <w:ind w:firstLine="570"/>
        <w:rPr>
          <w:rFonts w:ascii="宋体" w:hAnsi="宋体"/>
          <w:sz w:val="24"/>
          <w:szCs w:val="24"/>
        </w:rPr>
      </w:pPr>
      <w:r>
        <w:rPr>
          <w:rFonts w:hint="eastAsia" w:ascii="宋体" w:hAnsi="宋体"/>
          <w:sz w:val="24"/>
          <w:szCs w:val="24"/>
        </w:rPr>
        <w:t>本规范对以下术语和定义进行了说明：“电能表批”、“状态评价”、“更换”。</w:t>
      </w:r>
    </w:p>
    <w:p>
      <w:pPr>
        <w:spacing w:line="360" w:lineRule="auto"/>
        <w:ind w:firstLine="481" w:firstLineChars="200"/>
        <w:rPr>
          <w:b/>
          <w:bCs/>
          <w:color w:val="000000"/>
          <w:sz w:val="24"/>
        </w:rPr>
      </w:pPr>
      <w:r>
        <w:rPr>
          <w:rFonts w:hint="eastAsia"/>
          <w:b/>
          <w:bCs/>
          <w:color w:val="000000"/>
          <w:sz w:val="24"/>
        </w:rPr>
        <w:t>4.概述</w:t>
      </w:r>
    </w:p>
    <w:p>
      <w:pPr>
        <w:spacing w:line="360" w:lineRule="auto"/>
        <w:ind w:firstLine="570"/>
        <w:rPr>
          <w:rFonts w:ascii="宋体" w:hAnsi="宋体"/>
          <w:sz w:val="24"/>
          <w:szCs w:val="24"/>
        </w:rPr>
      </w:pPr>
      <w:r>
        <w:rPr>
          <w:rFonts w:hint="eastAsia" w:ascii="宋体" w:hAnsi="宋体"/>
          <w:sz w:val="24"/>
          <w:szCs w:val="24"/>
        </w:rPr>
        <w:t>为了加强电能表的管理，规范电能表延期使用，基于电能表运行校准平台（以下简称平台），明确电能表状态评价和更换的流程，以及全过程管理和监督的要求，制定本实施规范。</w:t>
      </w:r>
    </w:p>
    <w:p>
      <w:pPr>
        <w:spacing w:line="360" w:lineRule="auto"/>
        <w:ind w:firstLine="481" w:firstLineChars="200"/>
        <w:rPr>
          <w:b/>
          <w:bCs/>
          <w:color w:val="000000"/>
          <w:sz w:val="24"/>
        </w:rPr>
      </w:pPr>
      <w:r>
        <w:rPr>
          <w:rFonts w:hint="eastAsia"/>
          <w:b/>
          <w:bCs/>
          <w:color w:val="000000"/>
          <w:sz w:val="24"/>
        </w:rPr>
        <w:t>5.状态评价</w:t>
      </w:r>
    </w:p>
    <w:p>
      <w:pPr>
        <w:spacing w:line="360" w:lineRule="auto"/>
        <w:ind w:firstLine="481" w:firstLineChars="200"/>
        <w:rPr>
          <w:b/>
          <w:bCs/>
          <w:color w:val="000000"/>
          <w:sz w:val="24"/>
        </w:rPr>
      </w:pPr>
      <w:r>
        <w:rPr>
          <w:rFonts w:hint="eastAsia"/>
          <w:b/>
          <w:bCs/>
          <w:color w:val="000000"/>
          <w:sz w:val="24"/>
        </w:rPr>
        <w:t>5.1在线校准</w:t>
      </w:r>
    </w:p>
    <w:p>
      <w:pPr>
        <w:spacing w:line="360" w:lineRule="auto"/>
        <w:ind w:firstLine="480" w:firstLineChars="200"/>
        <w:rPr>
          <w:rFonts w:ascii="宋体" w:hAnsi="宋体"/>
          <w:sz w:val="24"/>
          <w:szCs w:val="24"/>
        </w:rPr>
      </w:pPr>
      <w:r>
        <w:rPr>
          <w:rFonts w:hint="eastAsia" w:ascii="宋体" w:hAnsi="宋体"/>
          <w:sz w:val="24"/>
          <w:szCs w:val="24"/>
        </w:rPr>
        <w:t>对在线校准依据、平台、评价结果做了规定。</w:t>
      </w:r>
    </w:p>
    <w:p>
      <w:pPr>
        <w:spacing w:line="360" w:lineRule="auto"/>
        <w:ind w:firstLine="481" w:firstLineChars="200"/>
        <w:rPr>
          <w:b/>
          <w:bCs/>
          <w:color w:val="000000"/>
          <w:sz w:val="24"/>
        </w:rPr>
      </w:pPr>
      <w:r>
        <w:rPr>
          <w:rFonts w:hint="eastAsia"/>
          <w:b/>
          <w:bCs/>
          <w:color w:val="000000"/>
          <w:sz w:val="24"/>
        </w:rPr>
        <w:t>5.2</w:t>
      </w:r>
      <w:r>
        <w:rPr>
          <w:rFonts w:hint="eastAsia"/>
          <w:b/>
          <w:bCs/>
          <w:color w:val="000000"/>
          <w:sz w:val="24"/>
        </w:rPr>
        <w:tab/>
      </w:r>
      <w:r>
        <w:rPr>
          <w:rFonts w:hint="eastAsia"/>
          <w:b/>
          <w:bCs/>
          <w:color w:val="000000"/>
          <w:sz w:val="24"/>
        </w:rPr>
        <w:t>批的提出</w:t>
      </w:r>
    </w:p>
    <w:p>
      <w:pPr>
        <w:spacing w:line="360" w:lineRule="auto"/>
        <w:ind w:firstLine="480" w:firstLineChars="200"/>
        <w:rPr>
          <w:rFonts w:ascii="宋体" w:hAnsi="宋体"/>
          <w:sz w:val="24"/>
          <w:szCs w:val="24"/>
        </w:rPr>
      </w:pPr>
      <w:r>
        <w:rPr>
          <w:rFonts w:hint="eastAsia" w:ascii="宋体" w:hAnsi="宋体"/>
          <w:sz w:val="24"/>
          <w:szCs w:val="24"/>
        </w:rPr>
        <w:t>对在线校准状态评价电能表批、抽样检定状态评价电能表批做了规定。</w:t>
      </w:r>
    </w:p>
    <w:p>
      <w:pPr>
        <w:spacing w:line="360" w:lineRule="auto"/>
        <w:ind w:firstLine="481" w:firstLineChars="200"/>
        <w:rPr>
          <w:b/>
          <w:bCs/>
          <w:color w:val="000000"/>
          <w:sz w:val="24"/>
        </w:rPr>
      </w:pPr>
      <w:r>
        <w:rPr>
          <w:rFonts w:hint="eastAsia"/>
          <w:b/>
          <w:bCs/>
          <w:color w:val="000000"/>
          <w:sz w:val="24"/>
        </w:rPr>
        <w:t>5.3</w:t>
      </w:r>
      <w:r>
        <w:rPr>
          <w:rFonts w:hint="eastAsia"/>
          <w:b/>
          <w:bCs/>
          <w:color w:val="000000"/>
          <w:sz w:val="24"/>
        </w:rPr>
        <w:tab/>
      </w:r>
      <w:r>
        <w:rPr>
          <w:rFonts w:hint="eastAsia"/>
          <w:b/>
          <w:bCs/>
          <w:color w:val="000000"/>
          <w:sz w:val="24"/>
        </w:rPr>
        <w:t>在线校准状态评价</w:t>
      </w:r>
    </w:p>
    <w:p>
      <w:pPr>
        <w:spacing w:line="360" w:lineRule="auto"/>
        <w:ind w:firstLine="480" w:firstLineChars="200"/>
        <w:rPr>
          <w:rFonts w:ascii="宋体" w:hAnsi="宋体"/>
          <w:sz w:val="24"/>
          <w:szCs w:val="24"/>
        </w:rPr>
      </w:pPr>
      <w:r>
        <w:rPr>
          <w:rFonts w:hint="eastAsia" w:ascii="宋体" w:hAnsi="宋体"/>
          <w:sz w:val="24"/>
          <w:szCs w:val="24"/>
        </w:rPr>
        <w:t>对在线校准状态评价电能表批的价结果验证、验证结果处理做了规定。</w:t>
      </w:r>
    </w:p>
    <w:p>
      <w:pPr>
        <w:spacing w:line="360" w:lineRule="auto"/>
        <w:ind w:firstLine="481" w:firstLineChars="200"/>
        <w:rPr>
          <w:b/>
          <w:bCs/>
          <w:color w:val="000000"/>
          <w:sz w:val="24"/>
        </w:rPr>
      </w:pPr>
      <w:bookmarkStart w:id="1" w:name="_Toc8432"/>
      <w:bookmarkStart w:id="2" w:name="_Toc18504"/>
      <w:r>
        <w:rPr>
          <w:rFonts w:hint="eastAsia"/>
          <w:b/>
          <w:bCs/>
          <w:color w:val="000000"/>
          <w:sz w:val="24"/>
        </w:rPr>
        <w:t>5.4</w:t>
      </w:r>
      <w:r>
        <w:rPr>
          <w:rFonts w:hint="eastAsia"/>
          <w:b/>
          <w:bCs/>
          <w:color w:val="000000"/>
          <w:sz w:val="24"/>
        </w:rPr>
        <w:tab/>
      </w:r>
      <w:bookmarkEnd w:id="1"/>
      <w:bookmarkEnd w:id="2"/>
      <w:r>
        <w:rPr>
          <w:rFonts w:hint="eastAsia"/>
          <w:b/>
          <w:bCs/>
          <w:color w:val="000000"/>
          <w:sz w:val="24"/>
        </w:rPr>
        <w:t>抽样检定状态评价</w:t>
      </w:r>
    </w:p>
    <w:p>
      <w:pPr>
        <w:spacing w:line="360" w:lineRule="auto"/>
        <w:ind w:firstLine="480" w:firstLineChars="200"/>
        <w:rPr>
          <w:rFonts w:ascii="宋体" w:hAnsi="宋体"/>
          <w:sz w:val="24"/>
          <w:szCs w:val="24"/>
        </w:rPr>
      </w:pPr>
      <w:r>
        <w:rPr>
          <w:rFonts w:hint="eastAsia" w:ascii="宋体" w:hAnsi="宋体"/>
          <w:sz w:val="24"/>
          <w:szCs w:val="24"/>
        </w:rPr>
        <w:t>对抽样检定状态评价电能表批抽样方案的制定、</w:t>
      </w:r>
      <w:bookmarkStart w:id="3" w:name="_Toc29578"/>
      <w:r>
        <w:rPr>
          <w:rFonts w:hint="eastAsia" w:ascii="宋体" w:hAnsi="宋体"/>
          <w:sz w:val="24"/>
          <w:szCs w:val="24"/>
        </w:rPr>
        <w:t>样品检定</w:t>
      </w:r>
      <w:bookmarkEnd w:id="3"/>
      <w:r>
        <w:rPr>
          <w:rFonts w:hint="eastAsia" w:ascii="宋体" w:hAnsi="宋体"/>
          <w:sz w:val="24"/>
          <w:szCs w:val="24"/>
        </w:rPr>
        <w:t>做出了明确的规定。</w:t>
      </w:r>
    </w:p>
    <w:p>
      <w:pPr>
        <w:spacing w:line="360" w:lineRule="auto"/>
        <w:ind w:firstLine="481" w:firstLineChars="200"/>
        <w:rPr>
          <w:b/>
          <w:bCs/>
          <w:color w:val="000000"/>
          <w:sz w:val="24"/>
        </w:rPr>
      </w:pPr>
      <w:bookmarkStart w:id="4" w:name="_Toc12595"/>
      <w:r>
        <w:rPr>
          <w:rFonts w:hint="eastAsia"/>
          <w:b/>
          <w:bCs/>
          <w:color w:val="000000"/>
          <w:sz w:val="24"/>
        </w:rPr>
        <w:t>5.5</w:t>
      </w:r>
      <w:r>
        <w:rPr>
          <w:rFonts w:hint="eastAsia"/>
          <w:b/>
          <w:bCs/>
          <w:color w:val="000000"/>
          <w:sz w:val="24"/>
        </w:rPr>
        <w:tab/>
      </w:r>
      <w:bookmarkEnd w:id="4"/>
      <w:r>
        <w:rPr>
          <w:rFonts w:hint="eastAsia"/>
          <w:b/>
          <w:bCs/>
          <w:color w:val="000000"/>
          <w:sz w:val="24"/>
        </w:rPr>
        <w:t>延长检定周期的申请与确认</w:t>
      </w:r>
    </w:p>
    <w:p>
      <w:pPr>
        <w:spacing w:line="360" w:lineRule="auto"/>
        <w:ind w:firstLine="480" w:firstLineChars="200"/>
        <w:rPr>
          <w:rFonts w:ascii="宋体" w:hAnsi="宋体"/>
          <w:sz w:val="24"/>
          <w:szCs w:val="24"/>
        </w:rPr>
      </w:pPr>
      <w:r>
        <w:rPr>
          <w:rFonts w:hint="eastAsia" w:ascii="宋体" w:hAnsi="宋体"/>
          <w:sz w:val="24"/>
          <w:szCs w:val="24"/>
        </w:rPr>
        <w:t>对延长检定周期的申请与确认做了明确要求。</w:t>
      </w:r>
    </w:p>
    <w:p>
      <w:pPr>
        <w:spacing w:line="360" w:lineRule="auto"/>
        <w:ind w:firstLine="481" w:firstLineChars="200"/>
        <w:rPr>
          <w:b/>
          <w:bCs/>
          <w:color w:val="000000"/>
          <w:sz w:val="24"/>
        </w:rPr>
      </w:pPr>
      <w:bookmarkStart w:id="5" w:name="_Toc14177"/>
      <w:bookmarkStart w:id="6" w:name="_Toc11790"/>
      <w:bookmarkStart w:id="7" w:name="_Toc136943857"/>
      <w:bookmarkStart w:id="8" w:name="_Toc142321941"/>
      <w:r>
        <w:rPr>
          <w:rFonts w:hint="eastAsia"/>
          <w:b/>
          <w:bCs/>
          <w:color w:val="000000"/>
          <w:sz w:val="24"/>
        </w:rPr>
        <w:t>5.6信息的发布</w:t>
      </w:r>
      <w:bookmarkEnd w:id="5"/>
      <w:bookmarkEnd w:id="6"/>
      <w:bookmarkEnd w:id="7"/>
      <w:bookmarkEnd w:id="8"/>
    </w:p>
    <w:p>
      <w:pPr>
        <w:spacing w:line="360" w:lineRule="auto"/>
        <w:ind w:firstLine="480" w:firstLineChars="200"/>
        <w:rPr>
          <w:rFonts w:ascii="宋体" w:hAnsi="宋体"/>
          <w:sz w:val="24"/>
          <w:szCs w:val="24"/>
        </w:rPr>
      </w:pPr>
      <w:r>
        <w:rPr>
          <w:rFonts w:hint="eastAsia" w:ascii="宋体" w:hAnsi="宋体"/>
          <w:sz w:val="24"/>
          <w:szCs w:val="24"/>
        </w:rPr>
        <w:t>对信息的发布做出了明确的规定。</w:t>
      </w:r>
    </w:p>
    <w:p>
      <w:pPr>
        <w:spacing w:line="360" w:lineRule="auto"/>
        <w:ind w:firstLine="481" w:firstLineChars="200"/>
        <w:rPr>
          <w:b/>
          <w:bCs/>
          <w:color w:val="000000"/>
          <w:sz w:val="24"/>
        </w:rPr>
      </w:pPr>
      <w:bookmarkStart w:id="9" w:name="_Toc32018"/>
      <w:r>
        <w:rPr>
          <w:rFonts w:hint="eastAsia"/>
          <w:b/>
          <w:bCs/>
          <w:color w:val="000000"/>
          <w:sz w:val="24"/>
        </w:rPr>
        <w:t>6.更换</w:t>
      </w:r>
      <w:bookmarkEnd w:id="9"/>
    </w:p>
    <w:p>
      <w:pPr>
        <w:spacing w:line="360" w:lineRule="auto"/>
        <w:ind w:firstLine="480" w:firstLineChars="200"/>
        <w:rPr>
          <w:rFonts w:ascii="宋体" w:hAnsi="宋体"/>
          <w:sz w:val="24"/>
          <w:szCs w:val="24"/>
        </w:rPr>
      </w:pPr>
      <w:r>
        <w:rPr>
          <w:rFonts w:hint="eastAsia" w:ascii="宋体" w:hAnsi="宋体"/>
          <w:sz w:val="24"/>
          <w:szCs w:val="24"/>
        </w:rPr>
        <w:t>对失准更换、到期更换做出了明确的规定。</w:t>
      </w:r>
    </w:p>
    <w:p>
      <w:pPr>
        <w:spacing w:line="360" w:lineRule="auto"/>
        <w:ind w:firstLine="481" w:firstLineChars="200"/>
        <w:rPr>
          <w:b/>
          <w:bCs/>
          <w:color w:val="000000"/>
          <w:sz w:val="24"/>
        </w:rPr>
      </w:pPr>
      <w:r>
        <w:rPr>
          <w:rFonts w:hint="eastAsia"/>
          <w:b/>
          <w:bCs/>
          <w:color w:val="000000"/>
          <w:sz w:val="24"/>
        </w:rPr>
        <w:t>7.持续监督</w:t>
      </w:r>
    </w:p>
    <w:p>
      <w:pPr>
        <w:spacing w:line="360" w:lineRule="auto"/>
        <w:ind w:firstLine="480" w:firstLineChars="200"/>
        <w:rPr>
          <w:rFonts w:ascii="宋体" w:hAnsi="宋体"/>
          <w:sz w:val="24"/>
          <w:szCs w:val="24"/>
        </w:rPr>
      </w:pPr>
      <w:r>
        <w:rPr>
          <w:rFonts w:hint="eastAsia" w:ascii="宋体" w:hAnsi="宋体"/>
          <w:sz w:val="24"/>
          <w:szCs w:val="24"/>
        </w:rPr>
        <w:t>对持续监督做出了明确的规定。</w:t>
      </w:r>
    </w:p>
    <w:p>
      <w:pPr>
        <w:spacing w:line="360" w:lineRule="auto"/>
        <w:ind w:firstLine="481" w:firstLineChars="200"/>
        <w:rPr>
          <w:b/>
          <w:bCs/>
          <w:color w:val="000000"/>
          <w:sz w:val="24"/>
        </w:rPr>
      </w:pPr>
      <w:r>
        <w:rPr>
          <w:rFonts w:hint="eastAsia"/>
          <w:b/>
          <w:bCs/>
          <w:color w:val="000000"/>
          <w:sz w:val="24"/>
        </w:rPr>
        <w:t>8.附录</w:t>
      </w:r>
    </w:p>
    <w:p>
      <w:pPr>
        <w:spacing w:line="360" w:lineRule="auto"/>
        <w:ind w:firstLine="480" w:firstLineChars="200"/>
        <w:rPr>
          <w:rFonts w:ascii="宋体" w:hAnsi="宋体"/>
          <w:sz w:val="24"/>
          <w:szCs w:val="24"/>
        </w:rPr>
      </w:pPr>
      <w:r>
        <w:rPr>
          <w:rFonts w:hint="eastAsia" w:ascii="宋体" w:hAnsi="宋体"/>
          <w:sz w:val="24"/>
          <w:szCs w:val="24"/>
        </w:rPr>
        <w:t>附录A～</w:t>
      </w:r>
      <w:r>
        <w:rPr>
          <w:rFonts w:ascii="宋体" w:hAnsi="宋体"/>
          <w:sz w:val="24"/>
          <w:szCs w:val="24"/>
        </w:rPr>
        <w:t>C</w:t>
      </w:r>
      <w:r>
        <w:rPr>
          <w:rFonts w:hint="eastAsia" w:ascii="宋体" w:hAnsi="宋体"/>
          <w:sz w:val="24"/>
          <w:szCs w:val="24"/>
        </w:rPr>
        <w:t>提供了低压台区在用电子式交流电能表（以下简称电能表）的状态评价与更换的流程，以及全过程管理和监督的要求模板。</w:t>
      </w:r>
    </w:p>
    <w:p>
      <w:pPr>
        <w:pStyle w:val="11"/>
        <w:numPr>
          <w:ilvl w:val="0"/>
          <w:numId w:val="1"/>
        </w:numPr>
        <w:spacing w:line="360" w:lineRule="auto"/>
        <w:ind w:firstLineChars="0"/>
        <w:rPr>
          <w:rFonts w:ascii="Times New Roman" w:hAnsi="Times New Roman" w:eastAsia="黑体" w:cs="Times New Roman"/>
          <w:sz w:val="28"/>
          <w:szCs w:val="28"/>
        </w:rPr>
      </w:pPr>
      <w:r>
        <w:rPr>
          <w:rFonts w:ascii="Times New Roman" w:hAnsi="Times New Roman" w:eastAsia="黑体" w:cs="Times New Roman"/>
          <w:sz w:val="28"/>
          <w:szCs w:val="28"/>
        </w:rPr>
        <w:t>总结</w:t>
      </w:r>
    </w:p>
    <w:p>
      <w:pPr>
        <w:spacing w:line="360" w:lineRule="auto"/>
        <w:ind w:firstLine="480" w:firstLineChars="200"/>
        <w:rPr>
          <w:color w:val="000000"/>
          <w:szCs w:val="21"/>
        </w:rPr>
      </w:pPr>
      <w:r>
        <w:rPr>
          <w:color w:val="000000"/>
          <w:sz w:val="24"/>
        </w:rPr>
        <w:t>在本规范的制订过程中，编制组以国内</w:t>
      </w:r>
      <w:r>
        <w:rPr>
          <w:rFonts w:hint="eastAsia"/>
          <w:color w:val="000000"/>
          <w:sz w:val="24"/>
        </w:rPr>
        <w:t>现有</w:t>
      </w:r>
      <w:r>
        <w:rPr>
          <w:color w:val="000000"/>
          <w:sz w:val="24"/>
        </w:rPr>
        <w:t>技术资料及相关标准、</w:t>
      </w:r>
      <w:r>
        <w:rPr>
          <w:rFonts w:hint="eastAsia"/>
          <w:color w:val="000000"/>
          <w:sz w:val="24"/>
        </w:rPr>
        <w:t>经过多组试验验证</w:t>
      </w:r>
      <w:r>
        <w:rPr>
          <w:color w:val="000000"/>
          <w:sz w:val="24"/>
        </w:rPr>
        <w:t>为技术依据，本着科学合理、易于操作和普遍适用的原则，按照相关</w:t>
      </w:r>
      <w:r>
        <w:rPr>
          <w:rFonts w:hint="eastAsia"/>
          <w:color w:val="000000"/>
          <w:sz w:val="24"/>
        </w:rPr>
        <w:t>标准规范</w:t>
      </w:r>
      <w:r>
        <w:rPr>
          <w:color w:val="000000"/>
          <w:sz w:val="24"/>
        </w:rPr>
        <w:t>及项目进度要求</w:t>
      </w:r>
      <w:r>
        <w:rPr>
          <w:rFonts w:hint="eastAsia"/>
          <w:color w:val="000000"/>
          <w:sz w:val="24"/>
        </w:rPr>
        <w:t>编制《</w:t>
      </w:r>
      <w:r>
        <w:rPr>
          <w:rFonts w:hint="eastAsia" w:ascii="Times New Roman" w:hAnsi="Times New Roman" w:cs="Times New Roman"/>
          <w:sz w:val="24"/>
          <w:szCs w:val="24"/>
        </w:rPr>
        <w:t>在用电子式交流电能表状态评价与更换实施规范</w:t>
      </w:r>
      <w:r>
        <w:rPr>
          <w:rFonts w:hint="eastAsia"/>
          <w:color w:val="000000"/>
          <w:sz w:val="24"/>
        </w:rPr>
        <w:t>》</w:t>
      </w:r>
      <w:r>
        <w:rPr>
          <w:color w:val="000000"/>
          <w:sz w:val="24"/>
        </w:rPr>
        <w:t>。</w:t>
      </w:r>
    </w:p>
    <w:p>
      <w:pPr>
        <w:spacing w:line="360" w:lineRule="auto"/>
        <w:ind w:firstLine="481" w:firstLineChars="200"/>
        <w:rPr>
          <w:rFonts w:ascii="Times New Roman" w:hAnsi="Times New Roman" w:cs="Times New Roman"/>
          <w:b/>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3000509000000000000"/>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6732"/>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t>第</w:t>
        </w: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r>
          <w:rPr>
            <w:rFonts w:ascii="Times New Roman" w:hAnsi="Times New Roman" w:cs="Times New Roman"/>
          </w:rPr>
          <w:t>页，共</w:t>
        </w:r>
        <w:r>
          <w:rPr>
            <w:rFonts w:hint="eastAsia" w:ascii="Times New Roman" w:hAnsi="Times New Roman" w:cs="Times New Roman"/>
          </w:rPr>
          <w:t>3</w:t>
        </w:r>
        <w:r>
          <w:rPr>
            <w:rFonts w:ascii="Times New Roman" w:hAnsi="Times New Roman" w:cs="Times New Roman"/>
          </w:rPr>
          <w:t>页</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CA7A0E"/>
    <w:multiLevelType w:val="multilevel"/>
    <w:tmpl w:val="6ECA7A0E"/>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TRhZDFkMDQwMmJmMDgxYzZiMzk2YTlmZTkwOTgifQ=="/>
  </w:docVars>
  <w:rsids>
    <w:rsidRoot w:val="008D75F2"/>
    <w:rsid w:val="00011A6A"/>
    <w:rsid w:val="00013EFD"/>
    <w:rsid w:val="00045F70"/>
    <w:rsid w:val="00050DFB"/>
    <w:rsid w:val="00070E05"/>
    <w:rsid w:val="0008729D"/>
    <w:rsid w:val="000B6F5E"/>
    <w:rsid w:val="00123C35"/>
    <w:rsid w:val="001869AE"/>
    <w:rsid w:val="00214146"/>
    <w:rsid w:val="00240199"/>
    <w:rsid w:val="002838E9"/>
    <w:rsid w:val="002A2246"/>
    <w:rsid w:val="002A3791"/>
    <w:rsid w:val="002D0B91"/>
    <w:rsid w:val="0034366B"/>
    <w:rsid w:val="00353FA5"/>
    <w:rsid w:val="003610B0"/>
    <w:rsid w:val="004148F9"/>
    <w:rsid w:val="004250EE"/>
    <w:rsid w:val="00450589"/>
    <w:rsid w:val="0047132B"/>
    <w:rsid w:val="004805AB"/>
    <w:rsid w:val="004F2045"/>
    <w:rsid w:val="00501EFD"/>
    <w:rsid w:val="005B4F5A"/>
    <w:rsid w:val="00666C91"/>
    <w:rsid w:val="00671F9C"/>
    <w:rsid w:val="006933DE"/>
    <w:rsid w:val="007732EA"/>
    <w:rsid w:val="00793325"/>
    <w:rsid w:val="008235BF"/>
    <w:rsid w:val="0082535B"/>
    <w:rsid w:val="008D0875"/>
    <w:rsid w:val="008D75F2"/>
    <w:rsid w:val="008F3C9B"/>
    <w:rsid w:val="009A3B25"/>
    <w:rsid w:val="009A7CFB"/>
    <w:rsid w:val="009C5D52"/>
    <w:rsid w:val="00A1189D"/>
    <w:rsid w:val="00A33EDE"/>
    <w:rsid w:val="00A80A5E"/>
    <w:rsid w:val="00AA342F"/>
    <w:rsid w:val="00AD0A74"/>
    <w:rsid w:val="00AE297E"/>
    <w:rsid w:val="00B13319"/>
    <w:rsid w:val="00B17682"/>
    <w:rsid w:val="00B22B7C"/>
    <w:rsid w:val="00B42BEF"/>
    <w:rsid w:val="00BB43CD"/>
    <w:rsid w:val="00BE0556"/>
    <w:rsid w:val="00C03119"/>
    <w:rsid w:val="00C4400A"/>
    <w:rsid w:val="00C72C82"/>
    <w:rsid w:val="00D12FD2"/>
    <w:rsid w:val="00D345EF"/>
    <w:rsid w:val="00D51189"/>
    <w:rsid w:val="00D65968"/>
    <w:rsid w:val="00D740C1"/>
    <w:rsid w:val="00D83C31"/>
    <w:rsid w:val="00DD5932"/>
    <w:rsid w:val="00DF30FB"/>
    <w:rsid w:val="00E001AD"/>
    <w:rsid w:val="00EA6F60"/>
    <w:rsid w:val="00ED4BE9"/>
    <w:rsid w:val="00F20FF6"/>
    <w:rsid w:val="00F604BD"/>
    <w:rsid w:val="00FC2AB7"/>
    <w:rsid w:val="00FD0FF3"/>
    <w:rsid w:val="03DD6186"/>
    <w:rsid w:val="05A11F74"/>
    <w:rsid w:val="062A31D9"/>
    <w:rsid w:val="06824DC3"/>
    <w:rsid w:val="09D26F1E"/>
    <w:rsid w:val="09E87633"/>
    <w:rsid w:val="0ABF0FBE"/>
    <w:rsid w:val="0AD76C18"/>
    <w:rsid w:val="0CE6492F"/>
    <w:rsid w:val="0D1E2DA2"/>
    <w:rsid w:val="0D6E60A1"/>
    <w:rsid w:val="0DC2651F"/>
    <w:rsid w:val="0E1754B7"/>
    <w:rsid w:val="0F464CA7"/>
    <w:rsid w:val="1FD554DA"/>
    <w:rsid w:val="23A71968"/>
    <w:rsid w:val="24A3442A"/>
    <w:rsid w:val="2B093F9D"/>
    <w:rsid w:val="2B856003"/>
    <w:rsid w:val="2E1108D3"/>
    <w:rsid w:val="2E833189"/>
    <w:rsid w:val="2EB90023"/>
    <w:rsid w:val="324B33B4"/>
    <w:rsid w:val="34474001"/>
    <w:rsid w:val="35B75737"/>
    <w:rsid w:val="474156B1"/>
    <w:rsid w:val="4AB00115"/>
    <w:rsid w:val="4E8B1908"/>
    <w:rsid w:val="4EAF4D85"/>
    <w:rsid w:val="4EE80B08"/>
    <w:rsid w:val="58727E03"/>
    <w:rsid w:val="58AD3124"/>
    <w:rsid w:val="5EC034BA"/>
    <w:rsid w:val="61ED7DAB"/>
    <w:rsid w:val="62982A29"/>
    <w:rsid w:val="67031FA6"/>
    <w:rsid w:val="6ACC50D5"/>
    <w:rsid w:val="6CF03655"/>
    <w:rsid w:val="6E0A4968"/>
    <w:rsid w:val="719B7D9B"/>
    <w:rsid w:val="7744239C"/>
    <w:rsid w:val="77E45A61"/>
    <w:rsid w:val="796B15D3"/>
    <w:rsid w:val="7B1927A4"/>
    <w:rsid w:val="7FF32868"/>
    <w:rsid w:val="CFFF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ind w:left="720" w:hanging="720"/>
      <w:outlineLvl w:val="0"/>
    </w:pPr>
    <w:rPr>
      <w:rFonts w:ascii="Calibri" w:hAnsi="Calibri" w:eastAsia="宋体" w:cs="Times New Roman"/>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ind w:firstLine="420" w:firstLineChars="175"/>
    </w:pPr>
    <w:rPr>
      <w:rFonts w:eastAsia="宋体"/>
      <w:sz w:val="24"/>
      <w:szCs w:val="24"/>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11"/>
    <w:pPr>
      <w:spacing w:before="240" w:after="60" w:line="312" w:lineRule="auto"/>
      <w:jc w:val="center"/>
      <w:outlineLvl w:val="1"/>
    </w:pPr>
    <w:rPr>
      <w:b/>
      <w:bCs/>
      <w:kern w:val="28"/>
      <w:sz w:val="32"/>
      <w:szCs w:val="32"/>
    </w:rPr>
  </w:style>
  <w:style w:type="table" w:styleId="9">
    <w:name w:val="Table Grid"/>
    <w:basedOn w:val="8"/>
    <w:qFormat/>
    <w:uiPriority w:val="0"/>
    <w:rPr>
      <w:rFonts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1">
    <w:name w:val="List Paragraph"/>
    <w:basedOn w:val="1"/>
    <w:qFormat/>
    <w:uiPriority w:val="34"/>
    <w:pPr>
      <w:ind w:firstLine="420" w:firstLineChars="200"/>
    </w:pPr>
  </w:style>
  <w:style w:type="character" w:customStyle="1" w:styleId="12">
    <w:name w:val="正文文本缩进 字符"/>
    <w:link w:val="3"/>
    <w:qFormat/>
    <w:uiPriority w:val="0"/>
    <w:rPr>
      <w:rFonts w:eastAsia="宋体"/>
      <w:sz w:val="24"/>
      <w:szCs w:val="24"/>
    </w:rPr>
  </w:style>
  <w:style w:type="character" w:customStyle="1" w:styleId="13">
    <w:name w:val="正文文本缩进 Char1"/>
    <w:basedOn w:val="10"/>
    <w:semiHidden/>
    <w:qFormat/>
    <w:uiPriority w:val="99"/>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标题 1 字符"/>
    <w:basedOn w:val="10"/>
    <w:link w:val="2"/>
    <w:qFormat/>
    <w:uiPriority w:val="9"/>
    <w:rPr>
      <w:rFonts w:ascii="Calibri" w:hAnsi="Calibri" w:eastAsia="宋体" w:cs="Times New Roman"/>
      <w:b/>
      <w:bCs/>
      <w:kern w:val="44"/>
      <w:sz w:val="44"/>
      <w:szCs w:val="44"/>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260</Words>
  <Characters>1486</Characters>
  <Lines>12</Lines>
  <Paragraphs>3</Paragraphs>
  <TotalTime>2</TotalTime>
  <ScaleCrop>false</ScaleCrop>
  <LinksUpToDate>false</LinksUpToDate>
  <CharactersWithSpaces>1743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2023-10-16T10:38:00Z</dcterms:created>
  <dc:creator>谭中柱</dc:creator>
  <cp:lastModifiedBy>xjkp</cp:lastModifiedBy>
  <cp:lastPrinted>2020-11-26T14:38:00Z</cp:lastPrinted>
  <dcterms:modified xsi:type="dcterms:W3CDTF">2024-04-07T09:57:11Z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452A3770D1634830806F0AB7C5D75ACD</vt:lpwstr>
  </property>
</Properties>
</file>